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FE" w:rsidRPr="007545B7" w:rsidRDefault="001C3A09" w:rsidP="007545B7">
      <w:pPr>
        <w:pStyle w:val="Heading2"/>
        <w:rPr>
          <w:rFonts w:asciiTheme="minorHAnsi" w:hAnsiTheme="minorHAnsi" w:cstheme="minorHAnsi"/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color w:val="0070C0"/>
          <w:sz w:val="28"/>
          <w:szCs w:val="28"/>
          <w:u w:val="single"/>
        </w:rPr>
        <w:t>GUIDED PATHWAYS STEERING COMMITTEE</w:t>
      </w:r>
    </w:p>
    <w:p w:rsidR="00DA519C" w:rsidRDefault="00DA519C" w:rsidP="00E2440E">
      <w:pPr>
        <w:pStyle w:val="Heading2"/>
        <w:jc w:val="left"/>
        <w:rPr>
          <w:rFonts w:asciiTheme="minorHAnsi" w:hAnsiTheme="minorHAnsi" w:cstheme="minorHAnsi"/>
          <w:color w:val="0070C0"/>
        </w:rPr>
      </w:pPr>
    </w:p>
    <w:p w:rsidR="00E2440E" w:rsidRPr="001C3384" w:rsidRDefault="00E2440E" w:rsidP="00E2440E">
      <w:pPr>
        <w:pStyle w:val="Heading2"/>
        <w:jc w:val="left"/>
        <w:rPr>
          <w:rFonts w:asciiTheme="minorHAnsi" w:hAnsiTheme="minorHAnsi" w:cstheme="minorHAnsi"/>
          <w:color w:val="0070C0"/>
        </w:rPr>
      </w:pPr>
      <w:r w:rsidRPr="00E57134">
        <w:rPr>
          <w:rFonts w:asciiTheme="minorHAnsi" w:hAnsiTheme="minorHAnsi" w:cstheme="minorHAnsi"/>
          <w:color w:val="0070C0"/>
        </w:rPr>
        <w:t>Charge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66B83" w:rsidTr="00666B83">
        <w:tc>
          <w:tcPr>
            <w:tcW w:w="10070" w:type="dxa"/>
          </w:tcPr>
          <w:p w:rsidR="007545B7" w:rsidRPr="007545B7" w:rsidRDefault="007545B7" w:rsidP="007545B7">
            <w:pPr>
              <w:pStyle w:val="BodyText"/>
              <w:spacing w:before="2"/>
              <w:ind w:left="100" w:right="231"/>
              <w:rPr>
                <w:rFonts w:cs="Calibri"/>
                <w:sz w:val="22"/>
                <w:szCs w:val="22"/>
              </w:rPr>
            </w:pPr>
            <w:r w:rsidRPr="007545B7">
              <w:rPr>
                <w:sz w:val="22"/>
                <w:szCs w:val="22"/>
              </w:rPr>
              <w:t>The</w:t>
            </w:r>
            <w:r w:rsidRPr="007545B7">
              <w:rPr>
                <w:spacing w:val="-3"/>
                <w:sz w:val="22"/>
                <w:szCs w:val="22"/>
              </w:rPr>
              <w:t xml:space="preserve"> Guided Pathways Steering Committee (GPSC) </w:t>
            </w:r>
            <w:r w:rsidRPr="007545B7">
              <w:rPr>
                <w:sz w:val="22"/>
                <w:szCs w:val="22"/>
              </w:rPr>
              <w:t>is</w:t>
            </w:r>
            <w:r w:rsidRPr="007545B7">
              <w:rPr>
                <w:spacing w:val="-5"/>
                <w:sz w:val="22"/>
                <w:szCs w:val="22"/>
              </w:rPr>
              <w:t xml:space="preserve"> </w:t>
            </w:r>
            <w:r w:rsidRPr="007545B7">
              <w:rPr>
                <w:sz w:val="22"/>
                <w:szCs w:val="22"/>
              </w:rPr>
              <w:t>a</w:t>
            </w:r>
            <w:r w:rsidRPr="007545B7">
              <w:rPr>
                <w:spacing w:val="-3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shared</w:t>
            </w:r>
            <w:r w:rsidRPr="007545B7">
              <w:rPr>
                <w:spacing w:val="-5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governance</w:t>
            </w:r>
            <w:r w:rsidRPr="007545B7">
              <w:rPr>
                <w:spacing w:val="-2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 xml:space="preserve">structure. </w:t>
            </w:r>
            <w:r w:rsidRPr="007545B7">
              <w:rPr>
                <w:spacing w:val="-2"/>
                <w:sz w:val="22"/>
                <w:szCs w:val="22"/>
              </w:rPr>
              <w:t xml:space="preserve"> Its focus is on developing and implementing an integrated, institution-wide approach to student success.  This data-informed approach will guide each student effectively and efficiently from their point of entry through their attainment of postsecondary credentials and careers.</w:t>
            </w:r>
          </w:p>
          <w:p w:rsidR="007545B7" w:rsidRPr="007545B7" w:rsidRDefault="007545B7" w:rsidP="007545B7">
            <w:pPr>
              <w:pStyle w:val="BodyText"/>
              <w:spacing w:line="292" w:lineRule="exact"/>
              <w:ind w:left="100"/>
              <w:rPr>
                <w:sz w:val="22"/>
                <w:szCs w:val="22"/>
              </w:rPr>
            </w:pPr>
          </w:p>
          <w:p w:rsidR="007545B7" w:rsidRPr="007545B7" w:rsidRDefault="007545B7" w:rsidP="007545B7">
            <w:pPr>
              <w:pStyle w:val="BodyText"/>
              <w:spacing w:line="292" w:lineRule="exact"/>
              <w:ind w:left="100"/>
              <w:rPr>
                <w:sz w:val="22"/>
                <w:szCs w:val="22"/>
              </w:rPr>
            </w:pPr>
            <w:r w:rsidRPr="007545B7">
              <w:rPr>
                <w:sz w:val="22"/>
                <w:szCs w:val="22"/>
              </w:rPr>
              <w:t>As</w:t>
            </w:r>
            <w:r w:rsidRPr="007545B7">
              <w:rPr>
                <w:spacing w:val="-3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such,</w:t>
            </w:r>
            <w:r w:rsidRPr="007545B7">
              <w:rPr>
                <w:spacing w:val="-2"/>
                <w:sz w:val="22"/>
                <w:szCs w:val="22"/>
              </w:rPr>
              <w:t xml:space="preserve"> it</w:t>
            </w:r>
            <w:r w:rsidRPr="007545B7">
              <w:rPr>
                <w:spacing w:val="-1"/>
                <w:sz w:val="22"/>
                <w:szCs w:val="22"/>
              </w:rPr>
              <w:t xml:space="preserve"> will:</w:t>
            </w:r>
          </w:p>
          <w:p w:rsidR="007545B7" w:rsidRPr="007545B7" w:rsidRDefault="007545B7" w:rsidP="007545B7">
            <w:pPr>
              <w:pStyle w:val="BodyText"/>
              <w:numPr>
                <w:ilvl w:val="0"/>
                <w:numId w:val="1"/>
              </w:numPr>
              <w:tabs>
                <w:tab w:val="left" w:pos="821"/>
              </w:tabs>
              <w:ind w:right="761"/>
              <w:rPr>
                <w:sz w:val="22"/>
                <w:szCs w:val="22"/>
              </w:rPr>
            </w:pPr>
            <w:r w:rsidRPr="007545B7">
              <w:rPr>
                <w:spacing w:val="-1"/>
                <w:sz w:val="22"/>
                <w:szCs w:val="22"/>
              </w:rPr>
              <w:t>Facilitate</w:t>
            </w:r>
            <w:r w:rsidRPr="007545B7">
              <w:rPr>
                <w:spacing w:val="-6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improvement</w:t>
            </w:r>
            <w:r w:rsidRPr="007545B7">
              <w:rPr>
                <w:spacing w:val="-5"/>
                <w:sz w:val="22"/>
                <w:szCs w:val="22"/>
              </w:rPr>
              <w:t xml:space="preserve"> of the student experience in each of the four pillar areas </w:t>
            </w:r>
            <w:r w:rsidRPr="007545B7">
              <w:rPr>
                <w:spacing w:val="-1"/>
                <w:sz w:val="22"/>
                <w:szCs w:val="22"/>
              </w:rPr>
              <w:t>through</w:t>
            </w:r>
            <w:r w:rsidRPr="007545B7">
              <w:rPr>
                <w:spacing w:val="-2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review</w:t>
            </w:r>
            <w:r w:rsidRPr="007545B7">
              <w:rPr>
                <w:spacing w:val="-7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of</w:t>
            </w:r>
            <w:r w:rsidRPr="007545B7">
              <w:rPr>
                <w:spacing w:val="-3"/>
                <w:sz w:val="22"/>
                <w:szCs w:val="22"/>
              </w:rPr>
              <w:t xml:space="preserve"> 90-day planning cycles for each Inquiry Team;</w:t>
            </w:r>
          </w:p>
          <w:p w:rsidR="007545B7" w:rsidRPr="007545B7" w:rsidRDefault="007545B7" w:rsidP="007545B7">
            <w:pPr>
              <w:pStyle w:val="BodyText"/>
              <w:numPr>
                <w:ilvl w:val="0"/>
                <w:numId w:val="1"/>
              </w:numPr>
              <w:tabs>
                <w:tab w:val="left" w:pos="821"/>
              </w:tabs>
              <w:spacing w:before="2"/>
              <w:ind w:right="324"/>
              <w:rPr>
                <w:sz w:val="22"/>
                <w:szCs w:val="22"/>
              </w:rPr>
            </w:pPr>
            <w:r w:rsidRPr="007545B7">
              <w:rPr>
                <w:spacing w:val="-1"/>
                <w:sz w:val="22"/>
                <w:szCs w:val="22"/>
              </w:rPr>
              <w:t>Evaluate</w:t>
            </w:r>
            <w:r w:rsidRPr="007545B7">
              <w:rPr>
                <w:spacing w:val="-4"/>
                <w:sz w:val="22"/>
                <w:szCs w:val="22"/>
              </w:rPr>
              <w:t xml:space="preserve"> the </w:t>
            </w:r>
            <w:r w:rsidRPr="007545B7">
              <w:rPr>
                <w:spacing w:val="-1"/>
                <w:sz w:val="22"/>
                <w:szCs w:val="22"/>
              </w:rPr>
              <w:t>plannin</w:t>
            </w:r>
            <w:r w:rsidR="00BD6A1C">
              <w:rPr>
                <w:spacing w:val="-1"/>
                <w:sz w:val="22"/>
                <w:szCs w:val="22"/>
              </w:rPr>
              <w:t>g cycles from the Inquiry Team a</w:t>
            </w:r>
            <w:r w:rsidRPr="007545B7">
              <w:rPr>
                <w:spacing w:val="-1"/>
                <w:sz w:val="22"/>
                <w:szCs w:val="22"/>
              </w:rPr>
              <w:t xml:space="preserve">reas to </w:t>
            </w:r>
            <w:r w:rsidRPr="007545B7">
              <w:rPr>
                <w:spacing w:val="-4"/>
                <w:sz w:val="22"/>
                <w:szCs w:val="22"/>
              </w:rPr>
              <w:t>ensure collaboration within all areas of the college that support each student from point of entry to attainment of high-quality post-secondary credentials and careers</w:t>
            </w:r>
            <w:r w:rsidRPr="007545B7">
              <w:rPr>
                <w:sz w:val="22"/>
                <w:szCs w:val="22"/>
              </w:rPr>
              <w:t>;</w:t>
            </w:r>
          </w:p>
          <w:p w:rsidR="007545B7" w:rsidRPr="007545B7" w:rsidRDefault="007545B7" w:rsidP="007545B7">
            <w:pPr>
              <w:pStyle w:val="BodyText"/>
              <w:numPr>
                <w:ilvl w:val="0"/>
                <w:numId w:val="1"/>
              </w:numPr>
              <w:tabs>
                <w:tab w:val="left" w:pos="821"/>
              </w:tabs>
              <w:ind w:right="652"/>
              <w:rPr>
                <w:sz w:val="22"/>
                <w:szCs w:val="22"/>
              </w:rPr>
            </w:pPr>
            <w:r w:rsidRPr="007545B7">
              <w:rPr>
                <w:spacing w:val="-1"/>
                <w:sz w:val="22"/>
                <w:szCs w:val="22"/>
              </w:rPr>
              <w:t>Use</w:t>
            </w:r>
            <w:r w:rsidRPr="007545B7">
              <w:rPr>
                <w:spacing w:val="-2"/>
                <w:sz w:val="22"/>
                <w:szCs w:val="22"/>
              </w:rPr>
              <w:t xml:space="preserve"> evidence to guide the end results for prioritizing pathways activities for  student services and instruction;</w:t>
            </w:r>
            <w:r w:rsidRPr="007545B7">
              <w:rPr>
                <w:spacing w:val="-5"/>
                <w:sz w:val="22"/>
                <w:szCs w:val="22"/>
              </w:rPr>
              <w:t xml:space="preserve"> </w:t>
            </w:r>
          </w:p>
          <w:p w:rsidR="007545B7" w:rsidRPr="007545B7" w:rsidRDefault="007545B7" w:rsidP="007545B7">
            <w:pPr>
              <w:pStyle w:val="BodyText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ind w:right="324"/>
              <w:rPr>
                <w:sz w:val="22"/>
                <w:szCs w:val="22"/>
              </w:rPr>
            </w:pPr>
            <w:r w:rsidRPr="007545B7">
              <w:rPr>
                <w:spacing w:val="-1"/>
                <w:sz w:val="22"/>
                <w:szCs w:val="22"/>
              </w:rPr>
              <w:t>Provide</w:t>
            </w:r>
            <w:r w:rsidRPr="007545B7">
              <w:rPr>
                <w:spacing w:val="-6"/>
                <w:sz w:val="22"/>
                <w:szCs w:val="22"/>
              </w:rPr>
              <w:t xml:space="preserve"> </w:t>
            </w:r>
            <w:r w:rsidRPr="007545B7">
              <w:rPr>
                <w:sz w:val="22"/>
                <w:szCs w:val="22"/>
              </w:rPr>
              <w:t>a</w:t>
            </w:r>
            <w:r w:rsidRPr="007545B7">
              <w:rPr>
                <w:spacing w:val="-3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means</w:t>
            </w:r>
            <w:r w:rsidRPr="007545B7">
              <w:rPr>
                <w:spacing w:val="-6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for</w:t>
            </w:r>
            <w:r w:rsidRPr="007545B7">
              <w:rPr>
                <w:spacing w:val="-4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continuous</w:t>
            </w:r>
            <w:r w:rsidRPr="007545B7">
              <w:rPr>
                <w:spacing w:val="-4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dialogue</w:t>
            </w:r>
            <w:r w:rsidRPr="007545B7">
              <w:rPr>
                <w:spacing w:val="-5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among</w:t>
            </w:r>
            <w:r w:rsidRPr="007545B7">
              <w:rPr>
                <w:spacing w:val="-6"/>
                <w:sz w:val="22"/>
                <w:szCs w:val="22"/>
              </w:rPr>
              <w:t xml:space="preserve"> the institution, service areas, and </w:t>
            </w:r>
            <w:r w:rsidRPr="007545B7">
              <w:rPr>
                <w:spacing w:val="-1"/>
                <w:sz w:val="22"/>
                <w:szCs w:val="22"/>
              </w:rPr>
              <w:t>departments</w:t>
            </w:r>
            <w:r w:rsidRPr="007545B7">
              <w:rPr>
                <w:spacing w:val="-3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regarding</w:t>
            </w:r>
            <w:r w:rsidRPr="007545B7">
              <w:rPr>
                <w:spacing w:val="-4"/>
                <w:sz w:val="22"/>
                <w:szCs w:val="22"/>
              </w:rPr>
              <w:t xml:space="preserve"> e</w:t>
            </w:r>
            <w:r w:rsidRPr="007545B7">
              <w:rPr>
                <w:spacing w:val="-1"/>
                <w:sz w:val="22"/>
                <w:szCs w:val="22"/>
              </w:rPr>
              <w:t xml:space="preserve">ffectiveness and </w:t>
            </w:r>
            <w:r w:rsidR="00BD6A1C">
              <w:rPr>
                <w:spacing w:val="-1"/>
                <w:sz w:val="22"/>
                <w:szCs w:val="22"/>
              </w:rPr>
              <w:t>outcomes of pathways activities;</w:t>
            </w:r>
            <w:r w:rsidRPr="007545B7">
              <w:rPr>
                <w:spacing w:val="-1"/>
                <w:sz w:val="22"/>
                <w:szCs w:val="22"/>
              </w:rPr>
              <w:t xml:space="preserve"> </w:t>
            </w:r>
          </w:p>
          <w:p w:rsidR="007545B7" w:rsidRPr="007545B7" w:rsidRDefault="007545B7" w:rsidP="007545B7">
            <w:pPr>
              <w:pStyle w:val="BodyText"/>
              <w:numPr>
                <w:ilvl w:val="0"/>
                <w:numId w:val="1"/>
              </w:numPr>
              <w:tabs>
                <w:tab w:val="left" w:pos="821"/>
              </w:tabs>
              <w:ind w:right="193"/>
              <w:jc w:val="both"/>
              <w:rPr>
                <w:sz w:val="22"/>
                <w:szCs w:val="22"/>
              </w:rPr>
            </w:pPr>
            <w:r w:rsidRPr="007545B7">
              <w:rPr>
                <w:spacing w:val="-1"/>
                <w:sz w:val="22"/>
                <w:szCs w:val="22"/>
              </w:rPr>
              <w:t>Provide</w:t>
            </w:r>
            <w:r w:rsidRPr="007545B7">
              <w:rPr>
                <w:spacing w:val="-6"/>
                <w:sz w:val="22"/>
                <w:szCs w:val="22"/>
              </w:rPr>
              <w:t xml:space="preserve"> f</w:t>
            </w:r>
            <w:r w:rsidRPr="007545B7">
              <w:rPr>
                <w:spacing w:val="-1"/>
                <w:sz w:val="22"/>
                <w:szCs w:val="22"/>
              </w:rPr>
              <w:t>eedback</w:t>
            </w:r>
            <w:r w:rsidRPr="007545B7">
              <w:rPr>
                <w:spacing w:val="-4"/>
                <w:sz w:val="22"/>
                <w:szCs w:val="22"/>
              </w:rPr>
              <w:t xml:space="preserve"> </w:t>
            </w:r>
            <w:r w:rsidRPr="007545B7">
              <w:rPr>
                <w:sz w:val="22"/>
                <w:szCs w:val="22"/>
              </w:rPr>
              <w:t>and</w:t>
            </w:r>
            <w:r w:rsidRPr="007545B7">
              <w:rPr>
                <w:spacing w:val="-3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suggestions</w:t>
            </w:r>
            <w:r w:rsidRPr="007545B7">
              <w:rPr>
                <w:spacing w:val="-3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on</w:t>
            </w:r>
            <w:r w:rsidRPr="007545B7">
              <w:rPr>
                <w:spacing w:val="-2"/>
                <w:sz w:val="22"/>
                <w:szCs w:val="22"/>
              </w:rPr>
              <w:t xml:space="preserve"> the </w:t>
            </w:r>
            <w:r w:rsidRPr="007545B7">
              <w:rPr>
                <w:spacing w:val="-1"/>
                <w:sz w:val="22"/>
                <w:szCs w:val="22"/>
              </w:rPr>
              <w:t>effectiveness of pathways activities</w:t>
            </w:r>
            <w:r w:rsidR="00DC40EC">
              <w:rPr>
                <w:spacing w:val="-1"/>
                <w:sz w:val="22"/>
                <w:szCs w:val="22"/>
              </w:rPr>
              <w:t xml:space="preserve"> </w:t>
            </w:r>
            <w:r w:rsidRPr="007545B7">
              <w:rPr>
                <w:sz w:val="22"/>
                <w:szCs w:val="22"/>
              </w:rPr>
              <w:t>in</w:t>
            </w:r>
            <w:r w:rsidRPr="007545B7">
              <w:rPr>
                <w:spacing w:val="-1"/>
                <w:sz w:val="22"/>
                <w:szCs w:val="22"/>
              </w:rPr>
              <w:t xml:space="preserve"> relation</w:t>
            </w:r>
            <w:r w:rsidRPr="007545B7">
              <w:rPr>
                <w:spacing w:val="-3"/>
                <w:sz w:val="22"/>
                <w:szCs w:val="22"/>
              </w:rPr>
              <w:t xml:space="preserve"> </w:t>
            </w:r>
            <w:r w:rsidRPr="007545B7">
              <w:rPr>
                <w:sz w:val="22"/>
                <w:szCs w:val="22"/>
              </w:rPr>
              <w:t>to</w:t>
            </w:r>
            <w:r w:rsidRPr="007545B7">
              <w:rPr>
                <w:spacing w:val="-1"/>
                <w:sz w:val="22"/>
                <w:szCs w:val="22"/>
              </w:rPr>
              <w:t xml:space="preserve"> student success and student equity as it relates to the </w:t>
            </w:r>
            <w:r w:rsidRPr="007545B7">
              <w:rPr>
                <w:sz w:val="22"/>
                <w:szCs w:val="22"/>
              </w:rPr>
              <w:t>mission</w:t>
            </w:r>
            <w:r w:rsidRPr="007545B7">
              <w:rPr>
                <w:spacing w:val="-2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of</w:t>
            </w:r>
            <w:r w:rsidRPr="007545B7">
              <w:rPr>
                <w:spacing w:val="-2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the</w:t>
            </w:r>
            <w:r w:rsidRPr="007545B7">
              <w:rPr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 xml:space="preserve">college; </w:t>
            </w:r>
          </w:p>
          <w:p w:rsidR="007545B7" w:rsidRPr="007545B7" w:rsidRDefault="007545B7" w:rsidP="007545B7">
            <w:pPr>
              <w:pStyle w:val="BodyText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ind w:right="876"/>
              <w:rPr>
                <w:sz w:val="22"/>
                <w:szCs w:val="22"/>
              </w:rPr>
            </w:pPr>
            <w:r w:rsidRPr="007545B7">
              <w:rPr>
                <w:rFonts w:cs="Calibri"/>
                <w:sz w:val="22"/>
                <w:szCs w:val="22"/>
              </w:rPr>
              <w:t>Evaluate</w:t>
            </w:r>
            <w:r w:rsidRPr="007545B7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7545B7">
              <w:rPr>
                <w:rFonts w:cs="Calibri"/>
                <w:spacing w:val="-1"/>
                <w:sz w:val="22"/>
                <w:szCs w:val="22"/>
              </w:rPr>
              <w:t>the committee’s planning</w:t>
            </w:r>
            <w:r w:rsidRPr="007545B7">
              <w:rPr>
                <w:rFonts w:cs="Calibri"/>
                <w:spacing w:val="-5"/>
                <w:sz w:val="22"/>
                <w:szCs w:val="22"/>
              </w:rPr>
              <w:t xml:space="preserve"> </w:t>
            </w:r>
            <w:r w:rsidRPr="007545B7">
              <w:rPr>
                <w:rFonts w:cs="Calibri"/>
                <w:spacing w:val="-1"/>
                <w:sz w:val="22"/>
                <w:szCs w:val="22"/>
              </w:rPr>
              <w:t>practices</w:t>
            </w:r>
            <w:r w:rsidRPr="007545B7">
              <w:rPr>
                <w:rFonts w:cs="Calibri"/>
                <w:sz w:val="22"/>
                <w:szCs w:val="22"/>
              </w:rPr>
              <w:t xml:space="preserve"> </w:t>
            </w:r>
            <w:r w:rsidRPr="007545B7">
              <w:rPr>
                <w:rFonts w:cs="Calibri"/>
                <w:spacing w:val="-1"/>
                <w:sz w:val="22"/>
                <w:szCs w:val="22"/>
              </w:rPr>
              <w:t>and effectiveness</w:t>
            </w:r>
            <w:r w:rsidRPr="007545B7">
              <w:rPr>
                <w:rFonts w:cs="Calibri"/>
                <w:sz w:val="22"/>
                <w:szCs w:val="22"/>
              </w:rPr>
              <w:t xml:space="preserve"> and</w:t>
            </w:r>
            <w:r w:rsidRPr="007545B7">
              <w:rPr>
                <w:rFonts w:cs="Calibri"/>
                <w:spacing w:val="-1"/>
                <w:sz w:val="22"/>
                <w:szCs w:val="22"/>
              </w:rPr>
              <w:t xml:space="preserve"> make</w:t>
            </w:r>
            <w:r w:rsidRPr="007545B7">
              <w:rPr>
                <w:rFonts w:cs="Calibri"/>
                <w:spacing w:val="71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recommendations</w:t>
            </w:r>
            <w:r w:rsidRPr="007545B7">
              <w:rPr>
                <w:spacing w:val="-7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for</w:t>
            </w:r>
            <w:r w:rsidRPr="007545B7">
              <w:rPr>
                <w:spacing w:val="-5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improvement,</w:t>
            </w:r>
            <w:r w:rsidRPr="007545B7">
              <w:rPr>
                <w:spacing w:val="-6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when</w:t>
            </w:r>
            <w:r w:rsidRPr="007545B7">
              <w:rPr>
                <w:spacing w:val="-6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necessary,</w:t>
            </w:r>
            <w:r w:rsidRPr="007545B7">
              <w:rPr>
                <w:spacing w:val="-4"/>
                <w:sz w:val="22"/>
                <w:szCs w:val="22"/>
              </w:rPr>
              <w:t xml:space="preserve"> </w:t>
            </w:r>
            <w:r w:rsidRPr="007545B7">
              <w:rPr>
                <w:sz w:val="22"/>
                <w:szCs w:val="22"/>
              </w:rPr>
              <w:t>to</w:t>
            </w:r>
            <w:r w:rsidRPr="007545B7">
              <w:rPr>
                <w:spacing w:val="-6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the</w:t>
            </w:r>
            <w:r w:rsidRPr="007545B7">
              <w:rPr>
                <w:spacing w:val="2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Cuyamaca</w:t>
            </w:r>
            <w:r w:rsidRPr="007545B7">
              <w:rPr>
                <w:spacing w:val="-6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College</w:t>
            </w:r>
            <w:r w:rsidRPr="007545B7">
              <w:rPr>
                <w:spacing w:val="-4"/>
                <w:sz w:val="22"/>
                <w:szCs w:val="22"/>
              </w:rPr>
              <w:t xml:space="preserve"> </w:t>
            </w:r>
            <w:r w:rsidRPr="007545B7">
              <w:rPr>
                <w:spacing w:val="-1"/>
                <w:sz w:val="22"/>
                <w:szCs w:val="22"/>
              </w:rPr>
              <w:t>Council; and</w:t>
            </w:r>
          </w:p>
          <w:p w:rsidR="00666B83" w:rsidRDefault="007545B7" w:rsidP="007545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7545B7">
              <w:t>Develop an</w:t>
            </w:r>
            <w:r w:rsidR="00BD6A1C">
              <w:t xml:space="preserve"> annual report of Inquiry Team a</w:t>
            </w:r>
            <w:r w:rsidRPr="007545B7">
              <w:t>rea-level planning priorities, achievements, n</w:t>
            </w:r>
            <w:r w:rsidR="005F118F">
              <w:t>eeds, and challenges linked to c</w:t>
            </w:r>
            <w:r w:rsidRPr="007545B7">
              <w:t>ollege planning priorities.</w:t>
            </w:r>
          </w:p>
        </w:tc>
      </w:tr>
    </w:tbl>
    <w:p w:rsidR="005550FC" w:rsidRPr="007545B7" w:rsidRDefault="005550FC" w:rsidP="006D7444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2440E" w:rsidRPr="00E57134" w:rsidRDefault="00E2440E" w:rsidP="00E2440E">
      <w:pPr>
        <w:rPr>
          <w:rFonts w:asciiTheme="minorHAnsi" w:hAnsiTheme="minorHAnsi" w:cstheme="minorHAnsi"/>
          <w:color w:val="0070C0"/>
        </w:rPr>
      </w:pPr>
      <w:r w:rsidRPr="00E57134">
        <w:rPr>
          <w:rFonts w:asciiTheme="minorHAnsi" w:hAnsiTheme="minorHAnsi" w:cstheme="minorHAnsi"/>
          <w:b/>
          <w:color w:val="0070C0"/>
        </w:rPr>
        <w:t>Meeting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66B83" w:rsidTr="0059535B">
        <w:tc>
          <w:tcPr>
            <w:tcW w:w="10070" w:type="dxa"/>
          </w:tcPr>
          <w:p w:rsidR="00666B83" w:rsidRPr="007545B7" w:rsidRDefault="00B83350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545B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 xml:space="preserve"> Thursday</w:t>
            </w:r>
          </w:p>
          <w:p w:rsidR="00B83350" w:rsidRDefault="00B83350" w:rsidP="005953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>9a-11a</w:t>
            </w:r>
          </w:p>
        </w:tc>
      </w:tr>
    </w:tbl>
    <w:p w:rsidR="00E2440E" w:rsidRPr="007545B7" w:rsidRDefault="00E2440E" w:rsidP="00E2440E">
      <w:pPr>
        <w:rPr>
          <w:rFonts w:asciiTheme="minorHAnsi" w:hAnsiTheme="minorHAnsi" w:cstheme="minorHAnsi"/>
          <w:b/>
          <w:sz w:val="16"/>
          <w:szCs w:val="16"/>
        </w:rPr>
      </w:pPr>
    </w:p>
    <w:p w:rsidR="00E2440E" w:rsidRPr="00E57134" w:rsidRDefault="00E2440E" w:rsidP="00E2440E">
      <w:pPr>
        <w:rPr>
          <w:rFonts w:asciiTheme="minorHAnsi" w:hAnsiTheme="minorHAnsi" w:cstheme="minorHAnsi"/>
          <w:color w:val="0070C0"/>
        </w:rPr>
      </w:pPr>
      <w:r w:rsidRPr="00E57134">
        <w:rPr>
          <w:rFonts w:asciiTheme="minorHAnsi" w:hAnsiTheme="minorHAnsi" w:cstheme="minorHAnsi"/>
          <w:b/>
          <w:color w:val="0070C0"/>
        </w:rPr>
        <w:t>Chair(s)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66B83" w:rsidTr="0059535B">
        <w:tc>
          <w:tcPr>
            <w:tcW w:w="10070" w:type="dxa"/>
          </w:tcPr>
          <w:p w:rsidR="00666B83" w:rsidRPr="007545B7" w:rsidRDefault="00B83350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>Vice President of Instruction</w:t>
            </w:r>
          </w:p>
          <w:p w:rsidR="00B83350" w:rsidRPr="007545B7" w:rsidRDefault="00B83350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>Instructional Guided Pathways Coordinator</w:t>
            </w:r>
          </w:p>
          <w:p w:rsidR="00B83350" w:rsidRDefault="00B83350" w:rsidP="005953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>Student Services Guided Pathways Coordinator</w:t>
            </w:r>
          </w:p>
        </w:tc>
      </w:tr>
    </w:tbl>
    <w:p w:rsidR="00E2440E" w:rsidRPr="007545B7" w:rsidRDefault="00E2440E" w:rsidP="00E2440E">
      <w:pPr>
        <w:rPr>
          <w:rFonts w:asciiTheme="minorHAnsi" w:hAnsiTheme="minorHAnsi" w:cstheme="minorHAnsi"/>
          <w:b/>
          <w:sz w:val="16"/>
          <w:szCs w:val="16"/>
        </w:rPr>
      </w:pPr>
    </w:p>
    <w:p w:rsidR="00E2440E" w:rsidRPr="00E57134" w:rsidRDefault="00E2440E" w:rsidP="00E2440E">
      <w:pPr>
        <w:rPr>
          <w:rFonts w:asciiTheme="minorHAnsi" w:hAnsiTheme="minorHAnsi" w:cstheme="minorHAnsi"/>
          <w:color w:val="0070C0"/>
        </w:rPr>
      </w:pPr>
      <w:r w:rsidRPr="00E57134">
        <w:rPr>
          <w:rFonts w:asciiTheme="minorHAnsi" w:hAnsiTheme="minorHAnsi" w:cstheme="minorHAnsi"/>
          <w:b/>
          <w:color w:val="0070C0"/>
        </w:rPr>
        <w:t>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66B83" w:rsidTr="0059535B">
        <w:tc>
          <w:tcPr>
            <w:tcW w:w="10070" w:type="dxa"/>
          </w:tcPr>
          <w:p w:rsidR="00666B83" w:rsidRPr="007545B7" w:rsidRDefault="00B83350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>Inquiry Teams:</w:t>
            </w:r>
          </w:p>
          <w:p w:rsidR="00B83350" w:rsidRPr="007545B7" w:rsidRDefault="00DD2D21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Pillar </w:t>
            </w:r>
            <w:r w:rsidR="00B83350" w:rsidRPr="007545B7">
              <w:rPr>
                <w:rFonts w:asciiTheme="minorHAnsi" w:hAnsiTheme="minorHAnsi" w:cstheme="minorHAnsi"/>
                <w:sz w:val="22"/>
                <w:szCs w:val="22"/>
              </w:rPr>
              <w:t>1:   1 Faculty, 1 Administrator or Classified</w:t>
            </w:r>
          </w:p>
          <w:p w:rsidR="00B83350" w:rsidRPr="007545B7" w:rsidRDefault="00DD2D21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Pillar </w:t>
            </w:r>
            <w:r w:rsidR="00B83350" w:rsidRPr="007545B7">
              <w:rPr>
                <w:rFonts w:asciiTheme="minorHAnsi" w:hAnsiTheme="minorHAnsi" w:cstheme="minorHAnsi"/>
                <w:sz w:val="22"/>
                <w:szCs w:val="22"/>
              </w:rPr>
              <w:t>2:   1 Faculty, 1 Administrator or Classified</w:t>
            </w:r>
          </w:p>
          <w:p w:rsidR="00B83350" w:rsidRPr="007545B7" w:rsidRDefault="00DD2D21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Pillar </w:t>
            </w:r>
            <w:r w:rsidR="00B83350" w:rsidRPr="007545B7">
              <w:rPr>
                <w:rFonts w:asciiTheme="minorHAnsi" w:hAnsiTheme="minorHAnsi" w:cstheme="minorHAnsi"/>
                <w:sz w:val="22"/>
                <w:szCs w:val="22"/>
              </w:rPr>
              <w:t>3:   1 Faculty, 1 Administrator or Classified</w:t>
            </w:r>
          </w:p>
          <w:p w:rsidR="00B83350" w:rsidRPr="007545B7" w:rsidRDefault="00DD2D21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Pillar </w:t>
            </w:r>
            <w:r w:rsidR="00B83350" w:rsidRPr="007545B7">
              <w:rPr>
                <w:rFonts w:asciiTheme="minorHAnsi" w:hAnsiTheme="minorHAnsi" w:cstheme="minorHAnsi"/>
                <w:sz w:val="22"/>
                <w:szCs w:val="22"/>
              </w:rPr>
              <w:t>4:   1 Faculty, 1 Administrator or Classified</w:t>
            </w:r>
          </w:p>
          <w:p w:rsidR="00B83350" w:rsidRDefault="00B83350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>1 Classified Representative</w:t>
            </w:r>
          </w:p>
          <w:p w:rsidR="00DD2D21" w:rsidRDefault="00DD2D21" w:rsidP="0059535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Academic Senate Representative</w:t>
            </w:r>
          </w:p>
        </w:tc>
      </w:tr>
    </w:tbl>
    <w:p w:rsidR="005550FC" w:rsidRPr="007545B7" w:rsidRDefault="005550FC" w:rsidP="00E2440E">
      <w:pPr>
        <w:rPr>
          <w:rFonts w:asciiTheme="minorHAnsi" w:hAnsiTheme="minorHAnsi" w:cstheme="minorHAnsi"/>
          <w:sz w:val="16"/>
          <w:szCs w:val="16"/>
        </w:rPr>
      </w:pPr>
    </w:p>
    <w:p w:rsidR="00E2440E" w:rsidRPr="001C3384" w:rsidRDefault="00E2440E" w:rsidP="00E2440E">
      <w:pPr>
        <w:pStyle w:val="Heading2"/>
        <w:jc w:val="left"/>
        <w:rPr>
          <w:rFonts w:asciiTheme="minorHAnsi" w:hAnsiTheme="minorHAnsi" w:cstheme="minorHAnsi"/>
          <w:color w:val="0070C0"/>
        </w:rPr>
      </w:pPr>
      <w:r w:rsidRPr="00E57134">
        <w:rPr>
          <w:rFonts w:asciiTheme="minorHAnsi" w:hAnsiTheme="minorHAnsi" w:cstheme="minorHAnsi"/>
          <w:color w:val="0070C0"/>
        </w:rPr>
        <w:t>Resource</w:t>
      </w:r>
      <w:r w:rsidR="00E57134">
        <w:rPr>
          <w:rFonts w:asciiTheme="minorHAnsi" w:hAnsiTheme="minorHAnsi" w:cstheme="minorHAnsi"/>
          <w:color w:val="0070C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66B83" w:rsidTr="0059535B">
        <w:tc>
          <w:tcPr>
            <w:tcW w:w="10070" w:type="dxa"/>
          </w:tcPr>
          <w:p w:rsidR="00B83350" w:rsidRPr="00DD2D21" w:rsidRDefault="00B83350" w:rsidP="005953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5B7">
              <w:rPr>
                <w:rFonts w:asciiTheme="minorHAnsi" w:hAnsiTheme="minorHAnsi" w:cstheme="minorHAnsi"/>
                <w:sz w:val="22"/>
                <w:szCs w:val="22"/>
              </w:rPr>
              <w:t>Sr. Dean Institutional Effectiveness &amp; Student Equity</w:t>
            </w:r>
          </w:p>
        </w:tc>
      </w:tr>
    </w:tbl>
    <w:p w:rsidR="005550FC" w:rsidRPr="007545B7" w:rsidRDefault="005550FC" w:rsidP="00E2440E">
      <w:pPr>
        <w:rPr>
          <w:rFonts w:asciiTheme="minorHAnsi" w:hAnsiTheme="minorHAnsi" w:cstheme="minorHAnsi"/>
          <w:snapToGrid/>
          <w:sz w:val="16"/>
          <w:szCs w:val="16"/>
        </w:rPr>
      </w:pPr>
    </w:p>
    <w:p w:rsidR="00E2440E" w:rsidRPr="007545B7" w:rsidRDefault="00750EFB" w:rsidP="00AA0DFE">
      <w:pPr>
        <w:tabs>
          <w:tab w:val="left" w:pos="1800"/>
        </w:tabs>
        <w:rPr>
          <w:rFonts w:asciiTheme="minorHAnsi" w:hAnsiTheme="minorHAnsi" w:cstheme="minorHAnsi"/>
          <w:snapToGrid/>
          <w:sz w:val="20"/>
        </w:rPr>
      </w:pPr>
      <w:r w:rsidRPr="007545B7">
        <w:rPr>
          <w:rFonts w:asciiTheme="minorHAnsi" w:hAnsiTheme="minorHAnsi" w:cstheme="minorHAnsi"/>
          <w:snapToGrid/>
          <w:sz w:val="20"/>
        </w:rPr>
        <w:t xml:space="preserve">First Reading: </w:t>
      </w:r>
      <w:r w:rsidR="00AA0DFE" w:rsidRPr="007545B7">
        <w:rPr>
          <w:rFonts w:asciiTheme="minorHAnsi" w:hAnsiTheme="minorHAnsi" w:cstheme="minorHAnsi"/>
          <w:snapToGrid/>
          <w:sz w:val="20"/>
        </w:rPr>
        <w:tab/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66B83" w:rsidRPr="007545B7">
        <w:rPr>
          <w:rFonts w:asciiTheme="minorHAnsi" w:hAnsiTheme="minorHAnsi" w:cstheme="minorHAnsi"/>
          <w:snapToGrid/>
          <w:sz w:val="20"/>
        </w:rPr>
        <w:instrText xml:space="preserve"> FORMTEXT </w:instrText>
      </w:r>
      <w:r w:rsidR="00666B83" w:rsidRPr="007545B7">
        <w:rPr>
          <w:rFonts w:asciiTheme="minorHAnsi" w:hAnsiTheme="minorHAnsi" w:cstheme="minorHAnsi"/>
          <w:snapToGrid/>
          <w:sz w:val="20"/>
        </w:rPr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separate"/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end"/>
      </w:r>
      <w:bookmarkEnd w:id="1"/>
    </w:p>
    <w:p w:rsidR="00750EFB" w:rsidRPr="007545B7" w:rsidRDefault="00750EFB" w:rsidP="00AA0DFE">
      <w:pPr>
        <w:tabs>
          <w:tab w:val="left" w:pos="1800"/>
        </w:tabs>
        <w:rPr>
          <w:rFonts w:asciiTheme="minorHAnsi" w:hAnsiTheme="minorHAnsi" w:cstheme="minorHAnsi"/>
          <w:snapToGrid/>
          <w:sz w:val="20"/>
        </w:rPr>
      </w:pPr>
      <w:r w:rsidRPr="007545B7">
        <w:rPr>
          <w:rFonts w:asciiTheme="minorHAnsi" w:hAnsiTheme="minorHAnsi" w:cstheme="minorHAnsi"/>
          <w:snapToGrid/>
          <w:sz w:val="20"/>
        </w:rPr>
        <w:t xml:space="preserve">Second Reading: </w:t>
      </w:r>
      <w:r w:rsidR="00AA0DFE" w:rsidRPr="007545B7">
        <w:rPr>
          <w:rFonts w:asciiTheme="minorHAnsi" w:hAnsiTheme="minorHAnsi" w:cstheme="minorHAnsi"/>
          <w:snapToGrid/>
          <w:sz w:val="20"/>
        </w:rPr>
        <w:tab/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66B83" w:rsidRPr="007545B7">
        <w:rPr>
          <w:rFonts w:asciiTheme="minorHAnsi" w:hAnsiTheme="minorHAnsi" w:cstheme="minorHAnsi"/>
          <w:snapToGrid/>
          <w:sz w:val="20"/>
        </w:rPr>
        <w:instrText xml:space="preserve"> FORMTEXT </w:instrText>
      </w:r>
      <w:r w:rsidR="00666B83" w:rsidRPr="007545B7">
        <w:rPr>
          <w:rFonts w:asciiTheme="minorHAnsi" w:hAnsiTheme="minorHAnsi" w:cstheme="minorHAnsi"/>
          <w:snapToGrid/>
          <w:sz w:val="20"/>
        </w:rPr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separate"/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end"/>
      </w:r>
      <w:bookmarkEnd w:id="2"/>
    </w:p>
    <w:p w:rsidR="00DA519C" w:rsidRDefault="00750EFB" w:rsidP="007545B7">
      <w:pPr>
        <w:tabs>
          <w:tab w:val="left" w:pos="1800"/>
        </w:tabs>
        <w:rPr>
          <w:rFonts w:asciiTheme="minorHAnsi" w:hAnsiTheme="minorHAnsi" w:cstheme="minorHAnsi"/>
          <w:snapToGrid/>
          <w:sz w:val="20"/>
        </w:rPr>
      </w:pPr>
      <w:r w:rsidRPr="007545B7">
        <w:rPr>
          <w:rFonts w:asciiTheme="minorHAnsi" w:hAnsiTheme="minorHAnsi" w:cstheme="minorHAnsi"/>
          <w:snapToGrid/>
          <w:sz w:val="20"/>
        </w:rPr>
        <w:t xml:space="preserve">Approved: </w:t>
      </w:r>
      <w:r w:rsidR="00AA0DFE" w:rsidRPr="007545B7">
        <w:rPr>
          <w:rFonts w:asciiTheme="minorHAnsi" w:hAnsiTheme="minorHAnsi" w:cstheme="minorHAnsi"/>
          <w:snapToGrid/>
          <w:sz w:val="20"/>
        </w:rPr>
        <w:tab/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66B83" w:rsidRPr="007545B7">
        <w:rPr>
          <w:rFonts w:asciiTheme="minorHAnsi" w:hAnsiTheme="minorHAnsi" w:cstheme="minorHAnsi"/>
          <w:snapToGrid/>
          <w:sz w:val="20"/>
        </w:rPr>
        <w:instrText xml:space="preserve"> FORMTEXT </w:instrText>
      </w:r>
      <w:r w:rsidR="00666B83" w:rsidRPr="007545B7">
        <w:rPr>
          <w:rFonts w:asciiTheme="minorHAnsi" w:hAnsiTheme="minorHAnsi" w:cstheme="minorHAnsi"/>
          <w:snapToGrid/>
          <w:sz w:val="20"/>
        </w:rPr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separate"/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noProof/>
          <w:snapToGrid/>
          <w:sz w:val="20"/>
        </w:rPr>
        <w:t> </w:t>
      </w:r>
      <w:r w:rsidR="00666B83" w:rsidRPr="007545B7">
        <w:rPr>
          <w:rFonts w:asciiTheme="minorHAnsi" w:hAnsiTheme="minorHAnsi" w:cstheme="minorHAnsi"/>
          <w:snapToGrid/>
          <w:sz w:val="20"/>
        </w:rPr>
        <w:fldChar w:fldCharType="end"/>
      </w:r>
      <w:bookmarkEnd w:id="3"/>
    </w:p>
    <w:p w:rsidR="00DA519C" w:rsidRDefault="00DA519C" w:rsidP="007545B7">
      <w:pPr>
        <w:tabs>
          <w:tab w:val="left" w:pos="1800"/>
        </w:tabs>
        <w:rPr>
          <w:rFonts w:asciiTheme="minorHAnsi" w:hAnsiTheme="minorHAnsi" w:cstheme="minorHAnsi"/>
          <w:snapToGrid/>
          <w:sz w:val="20"/>
        </w:rPr>
      </w:pPr>
    </w:p>
    <w:p w:rsidR="00DA519C" w:rsidRDefault="00DA519C" w:rsidP="007545B7">
      <w:pPr>
        <w:tabs>
          <w:tab w:val="left" w:pos="1800"/>
        </w:tabs>
        <w:rPr>
          <w:rFonts w:asciiTheme="minorHAnsi" w:hAnsiTheme="minorHAnsi" w:cstheme="minorHAnsi"/>
          <w:snapToGrid/>
          <w:sz w:val="16"/>
          <w:szCs w:val="16"/>
        </w:rPr>
      </w:pPr>
    </w:p>
    <w:p w:rsidR="00DA519C" w:rsidRPr="00DA519C" w:rsidRDefault="00DA519C" w:rsidP="007545B7">
      <w:pPr>
        <w:tabs>
          <w:tab w:val="left" w:pos="1800"/>
        </w:tabs>
        <w:rPr>
          <w:rFonts w:asciiTheme="minorHAnsi" w:hAnsiTheme="minorHAnsi" w:cstheme="minorHAnsi"/>
          <w:snapToGrid/>
          <w:sz w:val="16"/>
          <w:szCs w:val="16"/>
        </w:rPr>
      </w:pPr>
      <w:r w:rsidRPr="00DA519C">
        <w:rPr>
          <w:rFonts w:asciiTheme="minorHAnsi" w:hAnsiTheme="minorHAnsi" w:cstheme="minorHAnsi"/>
          <w:snapToGrid/>
          <w:sz w:val="16"/>
          <w:szCs w:val="16"/>
        </w:rPr>
        <w:t>Approved on 10/4 by the Guided Pathways Steering Committee</w:t>
      </w:r>
    </w:p>
    <w:sectPr w:rsidR="00DA519C" w:rsidRPr="00DA519C" w:rsidSect="00DA519C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8B"/>
    <w:multiLevelType w:val="hybridMultilevel"/>
    <w:tmpl w:val="EACC5CE4"/>
    <w:lvl w:ilvl="0" w:tplc="F252FB6E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656AFED4">
      <w:start w:val="1"/>
      <w:numFmt w:val="bullet"/>
      <w:lvlText w:val=""/>
      <w:lvlJc w:val="left"/>
      <w:pPr>
        <w:ind w:left="520" w:hanging="360"/>
      </w:pPr>
      <w:rPr>
        <w:rFonts w:ascii="Symbol" w:eastAsia="Symbol" w:hAnsi="Symbol" w:hint="default"/>
        <w:sz w:val="24"/>
        <w:szCs w:val="24"/>
      </w:rPr>
    </w:lvl>
    <w:lvl w:ilvl="2" w:tplc="93E8D602">
      <w:start w:val="1"/>
      <w:numFmt w:val="bullet"/>
      <w:lvlText w:val="•"/>
      <w:lvlJc w:val="left"/>
      <w:pPr>
        <w:ind w:left="1520" w:hanging="360"/>
      </w:pPr>
    </w:lvl>
    <w:lvl w:ilvl="3" w:tplc="B346246A">
      <w:start w:val="1"/>
      <w:numFmt w:val="bullet"/>
      <w:lvlText w:val="•"/>
      <w:lvlJc w:val="left"/>
      <w:pPr>
        <w:ind w:left="2520" w:hanging="360"/>
      </w:pPr>
    </w:lvl>
    <w:lvl w:ilvl="4" w:tplc="6630A7A2">
      <w:start w:val="1"/>
      <w:numFmt w:val="bullet"/>
      <w:lvlText w:val="•"/>
      <w:lvlJc w:val="left"/>
      <w:pPr>
        <w:ind w:left="3520" w:hanging="360"/>
      </w:pPr>
    </w:lvl>
    <w:lvl w:ilvl="5" w:tplc="89CCCCDE">
      <w:start w:val="1"/>
      <w:numFmt w:val="bullet"/>
      <w:lvlText w:val="•"/>
      <w:lvlJc w:val="left"/>
      <w:pPr>
        <w:ind w:left="4520" w:hanging="360"/>
      </w:pPr>
    </w:lvl>
    <w:lvl w:ilvl="6" w:tplc="DEE49352">
      <w:start w:val="1"/>
      <w:numFmt w:val="bullet"/>
      <w:lvlText w:val="•"/>
      <w:lvlJc w:val="left"/>
      <w:pPr>
        <w:ind w:left="5520" w:hanging="360"/>
      </w:pPr>
    </w:lvl>
    <w:lvl w:ilvl="7" w:tplc="591C02EC">
      <w:start w:val="1"/>
      <w:numFmt w:val="bullet"/>
      <w:lvlText w:val="•"/>
      <w:lvlJc w:val="left"/>
      <w:pPr>
        <w:ind w:left="6520" w:hanging="360"/>
      </w:pPr>
    </w:lvl>
    <w:lvl w:ilvl="8" w:tplc="73C6D9D4">
      <w:start w:val="1"/>
      <w:numFmt w:val="bullet"/>
      <w:lvlText w:val="•"/>
      <w:lvlJc w:val="left"/>
      <w:pPr>
        <w:ind w:left="75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0E"/>
    <w:rsid w:val="001C3384"/>
    <w:rsid w:val="001C3A09"/>
    <w:rsid w:val="00314B69"/>
    <w:rsid w:val="00335373"/>
    <w:rsid w:val="003B5B24"/>
    <w:rsid w:val="0046074B"/>
    <w:rsid w:val="005550FC"/>
    <w:rsid w:val="005F118F"/>
    <w:rsid w:val="00666B83"/>
    <w:rsid w:val="006D7444"/>
    <w:rsid w:val="00750EFB"/>
    <w:rsid w:val="007545B7"/>
    <w:rsid w:val="00AA0DFE"/>
    <w:rsid w:val="00B83350"/>
    <w:rsid w:val="00BD6A1C"/>
    <w:rsid w:val="00D734E0"/>
    <w:rsid w:val="00DA519C"/>
    <w:rsid w:val="00DC40EC"/>
    <w:rsid w:val="00DD08DA"/>
    <w:rsid w:val="00DD2D21"/>
    <w:rsid w:val="00DE2D73"/>
    <w:rsid w:val="00E2440E"/>
    <w:rsid w:val="00E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0E"/>
    <w:pPr>
      <w:widowControl w:val="0"/>
    </w:pPr>
    <w:rPr>
      <w:rFonts w:ascii="CG Times" w:hAnsi="CG Times"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E2440E"/>
    <w:pPr>
      <w:keepNext/>
      <w:tabs>
        <w:tab w:val="center" w:pos="468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440E"/>
    <w:rPr>
      <w:rFonts w:ascii="CG Times" w:hAnsi="CG Times"/>
      <w:b/>
      <w:snapToGrid w:val="0"/>
      <w:sz w:val="24"/>
    </w:rPr>
  </w:style>
  <w:style w:type="table" w:styleId="TableGrid">
    <w:name w:val="Table Grid"/>
    <w:basedOn w:val="TableNormal"/>
    <w:rsid w:val="0066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545B7"/>
    <w:pPr>
      <w:ind w:left="160"/>
    </w:pPr>
    <w:rPr>
      <w:rFonts w:ascii="Calibri" w:eastAsia="Calibri" w:hAnsi="Calibri"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545B7"/>
    <w:rPr>
      <w:rFonts w:ascii="Calibri" w:eastAsia="Calibri" w:hAnsi="Calibr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545B7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0E"/>
    <w:pPr>
      <w:widowControl w:val="0"/>
    </w:pPr>
    <w:rPr>
      <w:rFonts w:ascii="CG Times" w:hAnsi="CG Times"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E2440E"/>
    <w:pPr>
      <w:keepNext/>
      <w:tabs>
        <w:tab w:val="center" w:pos="468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440E"/>
    <w:rPr>
      <w:rFonts w:ascii="CG Times" w:hAnsi="CG Times"/>
      <w:b/>
      <w:snapToGrid w:val="0"/>
      <w:sz w:val="24"/>
    </w:rPr>
  </w:style>
  <w:style w:type="table" w:styleId="TableGrid">
    <w:name w:val="Table Grid"/>
    <w:basedOn w:val="TableNormal"/>
    <w:rsid w:val="0066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545B7"/>
    <w:pPr>
      <w:ind w:left="160"/>
    </w:pPr>
    <w:rPr>
      <w:rFonts w:ascii="Calibri" w:eastAsia="Calibri" w:hAnsi="Calibri"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545B7"/>
    <w:rPr>
      <w:rFonts w:ascii="Calibri" w:eastAsia="Calibri" w:hAnsi="Calibr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545B7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0FBE-64EC-4622-9CC6-75B93B77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Lennard</dc:creator>
  <cp:lastModifiedBy>Ariane Ahmadian</cp:lastModifiedBy>
  <cp:revision>2</cp:revision>
  <dcterms:created xsi:type="dcterms:W3CDTF">2018-12-06T21:44:00Z</dcterms:created>
  <dcterms:modified xsi:type="dcterms:W3CDTF">2018-12-06T21:44:00Z</dcterms:modified>
</cp:coreProperties>
</file>